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310" w14:textId="44090822" w:rsidR="00255B56" w:rsidRPr="00EA0231" w:rsidRDefault="00255B56" w:rsidP="00174E8E">
      <w:pPr>
        <w:jc w:val="center"/>
        <w:rPr>
          <w:rFonts w:ascii="Times New Roman" w:hAnsi="Times New Roman" w:cs="Times New Roman"/>
          <w:b/>
          <w:bCs/>
          <w:sz w:val="24"/>
          <w:szCs w:val="24"/>
        </w:rPr>
      </w:pPr>
      <w:r w:rsidRPr="00EA0231">
        <w:rPr>
          <w:rFonts w:ascii="Times New Roman" w:hAnsi="Times New Roman" w:cs="Times New Roman"/>
          <w:b/>
          <w:bCs/>
          <w:sz w:val="24"/>
          <w:szCs w:val="24"/>
        </w:rPr>
        <w:t>MATERIAL EVENT NOTICE</w:t>
      </w:r>
    </w:p>
    <w:p w14:paraId="3B00C561" w14:textId="2274BEA5" w:rsidR="00255B56" w:rsidRPr="00EA0231" w:rsidRDefault="00174E8E" w:rsidP="00174E8E">
      <w:pPr>
        <w:jc w:val="center"/>
        <w:rPr>
          <w:rFonts w:ascii="Times New Roman" w:hAnsi="Times New Roman" w:cs="Times New Roman"/>
          <w:sz w:val="24"/>
          <w:szCs w:val="24"/>
        </w:rPr>
      </w:pPr>
      <w:r w:rsidRPr="00EA0231">
        <w:rPr>
          <w:rFonts w:ascii="Times New Roman" w:hAnsi="Times New Roman" w:cs="Times New Roman"/>
          <w:sz w:val="24"/>
          <w:szCs w:val="24"/>
        </w:rPr>
        <w:t>[date of notice]</w:t>
      </w:r>
    </w:p>
    <w:p w14:paraId="27A0EB3D" w14:textId="488878E5" w:rsidR="00255B56" w:rsidRPr="00EA0231" w:rsidRDefault="00174E8E" w:rsidP="00174E8E">
      <w:pPr>
        <w:jc w:val="center"/>
        <w:rPr>
          <w:rFonts w:ascii="Times New Roman" w:hAnsi="Times New Roman" w:cs="Times New Roman"/>
          <w:sz w:val="24"/>
          <w:szCs w:val="24"/>
        </w:rPr>
      </w:pPr>
      <w:r w:rsidRPr="00EA0231">
        <w:rPr>
          <w:rFonts w:ascii="Times New Roman" w:hAnsi="Times New Roman" w:cs="Times New Roman"/>
          <w:sz w:val="24"/>
          <w:szCs w:val="24"/>
        </w:rPr>
        <w:t>[</w:t>
      </w:r>
      <w:r w:rsidR="00255B56" w:rsidRPr="00EA0231">
        <w:rPr>
          <w:rFonts w:ascii="Times New Roman" w:hAnsi="Times New Roman" w:cs="Times New Roman"/>
          <w:sz w:val="24"/>
          <w:szCs w:val="24"/>
        </w:rPr>
        <w:t>Name of Issue</w:t>
      </w:r>
      <w:r w:rsidRPr="00EA0231">
        <w:rPr>
          <w:rFonts w:ascii="Times New Roman" w:hAnsi="Times New Roman" w:cs="Times New Roman"/>
          <w:sz w:val="24"/>
          <w:szCs w:val="24"/>
        </w:rPr>
        <w:t>r]</w:t>
      </w:r>
    </w:p>
    <w:p w14:paraId="4FE4F54A" w14:textId="133D677A" w:rsidR="00174E8E" w:rsidRPr="00EA0231" w:rsidRDefault="00174E8E" w:rsidP="00255B56">
      <w:pPr>
        <w:rPr>
          <w:rFonts w:ascii="Times New Roman" w:hAnsi="Times New Roman" w:cs="Times New Roman"/>
          <w:sz w:val="20"/>
          <w:szCs w:val="20"/>
        </w:rPr>
      </w:pPr>
      <w:r w:rsidRPr="00EA0231">
        <w:rPr>
          <w:rFonts w:ascii="Times New Roman" w:hAnsi="Times New Roman" w:cs="Times New Roman"/>
          <w:sz w:val="20"/>
          <w:szCs w:val="20"/>
        </w:rPr>
        <w:t>To the holders of</w:t>
      </w:r>
      <w:r w:rsidR="00EA0231">
        <w:rPr>
          <w:rFonts w:ascii="Times New Roman" w:hAnsi="Times New Roman" w:cs="Times New Roman"/>
          <w:sz w:val="20"/>
          <w:szCs w:val="20"/>
        </w:rPr>
        <w:t xml:space="preserve"> the </w:t>
      </w:r>
      <w:r w:rsidR="008C295E">
        <w:rPr>
          <w:rFonts w:ascii="Times New Roman" w:hAnsi="Times New Roman" w:cs="Times New Roman"/>
          <w:sz w:val="20"/>
          <w:szCs w:val="20"/>
        </w:rPr>
        <w:t>[</w:t>
      </w:r>
      <w:r w:rsidR="00EA0231">
        <w:rPr>
          <w:rFonts w:ascii="Times New Roman" w:hAnsi="Times New Roman" w:cs="Times New Roman"/>
          <w:sz w:val="20"/>
          <w:szCs w:val="20"/>
        </w:rPr>
        <w:t>Bonds</w:t>
      </w:r>
      <w:r w:rsidR="008C295E">
        <w:rPr>
          <w:rFonts w:ascii="Times New Roman" w:hAnsi="Times New Roman" w:cs="Times New Roman"/>
          <w:sz w:val="20"/>
          <w:szCs w:val="20"/>
        </w:rPr>
        <w:t>/Notes/COPs</w:t>
      </w:r>
      <w:r w:rsidR="004B754D">
        <w:rPr>
          <w:rFonts w:ascii="Times New Roman" w:hAnsi="Times New Roman" w:cs="Times New Roman"/>
          <w:sz w:val="20"/>
          <w:szCs w:val="20"/>
        </w:rPr>
        <w:t>]</w:t>
      </w:r>
      <w:r w:rsidR="00EA0231">
        <w:rPr>
          <w:rFonts w:ascii="Times New Roman" w:hAnsi="Times New Roman" w:cs="Times New Roman"/>
          <w:sz w:val="20"/>
          <w:szCs w:val="20"/>
        </w:rPr>
        <w:t xml:space="preserve"> (as listed and defined in the following table)</w:t>
      </w:r>
      <w:r w:rsidRPr="00EA023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116"/>
        <w:gridCol w:w="3117"/>
        <w:gridCol w:w="3117"/>
      </w:tblGrid>
      <w:tr w:rsidR="00174E8E" w:rsidRPr="00EA0231" w14:paraId="6C3231F1" w14:textId="77777777" w:rsidTr="00174E8E">
        <w:tc>
          <w:tcPr>
            <w:tcW w:w="3116" w:type="dxa"/>
          </w:tcPr>
          <w:p w14:paraId="11A90C81" w14:textId="77777777" w:rsidR="00174E8E" w:rsidRPr="00EA0231" w:rsidRDefault="00174E8E" w:rsidP="00174E8E">
            <w:pPr>
              <w:rPr>
                <w:rFonts w:ascii="Times New Roman" w:hAnsi="Times New Roman" w:cs="Times New Roman"/>
                <w:b/>
                <w:bCs/>
                <w:sz w:val="20"/>
                <w:szCs w:val="20"/>
              </w:rPr>
            </w:pPr>
            <w:r w:rsidRPr="00EA0231">
              <w:rPr>
                <w:rFonts w:ascii="Times New Roman" w:hAnsi="Times New Roman" w:cs="Times New Roman"/>
                <w:b/>
                <w:bCs/>
                <w:sz w:val="20"/>
                <w:szCs w:val="20"/>
              </w:rPr>
              <w:t>Series</w:t>
            </w:r>
          </w:p>
        </w:tc>
        <w:tc>
          <w:tcPr>
            <w:tcW w:w="3117" w:type="dxa"/>
          </w:tcPr>
          <w:p w14:paraId="1D515F06" w14:textId="1809F16E" w:rsidR="00174E8E" w:rsidRPr="00EA0231" w:rsidRDefault="00174E8E" w:rsidP="00174E8E">
            <w:pPr>
              <w:rPr>
                <w:rFonts w:ascii="Times New Roman" w:hAnsi="Times New Roman" w:cs="Times New Roman"/>
                <w:b/>
                <w:bCs/>
                <w:sz w:val="20"/>
                <w:szCs w:val="20"/>
              </w:rPr>
            </w:pPr>
            <w:r w:rsidRPr="00EA0231">
              <w:rPr>
                <w:rFonts w:ascii="Times New Roman" w:hAnsi="Times New Roman" w:cs="Times New Roman"/>
                <w:b/>
                <w:bCs/>
                <w:sz w:val="20"/>
                <w:szCs w:val="20"/>
              </w:rPr>
              <w:t>CUSIP</w:t>
            </w:r>
          </w:p>
        </w:tc>
        <w:tc>
          <w:tcPr>
            <w:tcW w:w="3117" w:type="dxa"/>
          </w:tcPr>
          <w:p w14:paraId="55B71875" w14:textId="2DF3A320" w:rsidR="00174E8E" w:rsidRPr="00EA0231" w:rsidRDefault="00174E8E" w:rsidP="00174E8E">
            <w:pPr>
              <w:rPr>
                <w:rFonts w:ascii="Times New Roman" w:hAnsi="Times New Roman" w:cs="Times New Roman"/>
                <w:b/>
                <w:bCs/>
                <w:sz w:val="20"/>
                <w:szCs w:val="20"/>
              </w:rPr>
            </w:pPr>
            <w:r w:rsidRPr="00EA0231">
              <w:rPr>
                <w:rFonts w:ascii="Times New Roman" w:hAnsi="Times New Roman" w:cs="Times New Roman"/>
                <w:b/>
                <w:bCs/>
                <w:sz w:val="20"/>
                <w:szCs w:val="20"/>
              </w:rPr>
              <w:t>Maturity</w:t>
            </w:r>
          </w:p>
        </w:tc>
      </w:tr>
      <w:tr w:rsidR="00174E8E" w:rsidRPr="00EA0231" w14:paraId="41C5784B" w14:textId="77777777" w:rsidTr="00174E8E">
        <w:tc>
          <w:tcPr>
            <w:tcW w:w="3116" w:type="dxa"/>
          </w:tcPr>
          <w:p w14:paraId="66B60401" w14:textId="77777777" w:rsidR="00174E8E" w:rsidRPr="00EA0231" w:rsidRDefault="00174E8E" w:rsidP="00174E8E">
            <w:pPr>
              <w:rPr>
                <w:rFonts w:ascii="Times New Roman" w:hAnsi="Times New Roman" w:cs="Times New Roman"/>
                <w:b/>
                <w:bCs/>
                <w:sz w:val="20"/>
                <w:szCs w:val="20"/>
              </w:rPr>
            </w:pPr>
          </w:p>
        </w:tc>
        <w:tc>
          <w:tcPr>
            <w:tcW w:w="3117" w:type="dxa"/>
          </w:tcPr>
          <w:p w14:paraId="6FC47D7E" w14:textId="77777777" w:rsidR="00174E8E" w:rsidRPr="00EA0231" w:rsidRDefault="00174E8E" w:rsidP="00174E8E">
            <w:pPr>
              <w:rPr>
                <w:rFonts w:ascii="Times New Roman" w:hAnsi="Times New Roman" w:cs="Times New Roman"/>
                <w:b/>
                <w:bCs/>
                <w:sz w:val="20"/>
                <w:szCs w:val="20"/>
              </w:rPr>
            </w:pPr>
          </w:p>
        </w:tc>
        <w:tc>
          <w:tcPr>
            <w:tcW w:w="3117" w:type="dxa"/>
          </w:tcPr>
          <w:p w14:paraId="600F3086" w14:textId="77777777" w:rsidR="00174E8E" w:rsidRPr="00EA0231" w:rsidRDefault="00174E8E" w:rsidP="00174E8E">
            <w:pPr>
              <w:rPr>
                <w:rFonts w:ascii="Times New Roman" w:hAnsi="Times New Roman" w:cs="Times New Roman"/>
                <w:b/>
                <w:bCs/>
                <w:sz w:val="20"/>
                <w:szCs w:val="20"/>
              </w:rPr>
            </w:pPr>
          </w:p>
        </w:tc>
      </w:tr>
      <w:tr w:rsidR="00174E8E" w:rsidRPr="00EA0231" w14:paraId="2CE224F7" w14:textId="77777777" w:rsidTr="00174E8E">
        <w:tc>
          <w:tcPr>
            <w:tcW w:w="3116" w:type="dxa"/>
          </w:tcPr>
          <w:p w14:paraId="7BA534DF" w14:textId="77777777" w:rsidR="00174E8E" w:rsidRPr="00EA0231" w:rsidRDefault="00174E8E" w:rsidP="00174E8E">
            <w:pPr>
              <w:rPr>
                <w:rFonts w:ascii="Times New Roman" w:hAnsi="Times New Roman" w:cs="Times New Roman"/>
                <w:b/>
                <w:bCs/>
                <w:sz w:val="20"/>
                <w:szCs w:val="20"/>
              </w:rPr>
            </w:pPr>
          </w:p>
        </w:tc>
        <w:tc>
          <w:tcPr>
            <w:tcW w:w="3117" w:type="dxa"/>
          </w:tcPr>
          <w:p w14:paraId="0BEA555D" w14:textId="77777777" w:rsidR="00174E8E" w:rsidRPr="00EA0231" w:rsidRDefault="00174E8E" w:rsidP="00174E8E">
            <w:pPr>
              <w:rPr>
                <w:rFonts w:ascii="Times New Roman" w:hAnsi="Times New Roman" w:cs="Times New Roman"/>
                <w:b/>
                <w:bCs/>
                <w:sz w:val="20"/>
                <w:szCs w:val="20"/>
              </w:rPr>
            </w:pPr>
          </w:p>
        </w:tc>
        <w:tc>
          <w:tcPr>
            <w:tcW w:w="3117" w:type="dxa"/>
          </w:tcPr>
          <w:p w14:paraId="37D97820" w14:textId="77777777" w:rsidR="00174E8E" w:rsidRPr="00EA0231" w:rsidRDefault="00174E8E" w:rsidP="00174E8E">
            <w:pPr>
              <w:rPr>
                <w:rFonts w:ascii="Times New Roman" w:hAnsi="Times New Roman" w:cs="Times New Roman"/>
                <w:b/>
                <w:bCs/>
                <w:sz w:val="20"/>
                <w:szCs w:val="20"/>
              </w:rPr>
            </w:pPr>
          </w:p>
        </w:tc>
      </w:tr>
      <w:tr w:rsidR="00174E8E" w:rsidRPr="00EA0231" w14:paraId="1CDE8674" w14:textId="77777777" w:rsidTr="00174E8E">
        <w:tc>
          <w:tcPr>
            <w:tcW w:w="3116" w:type="dxa"/>
          </w:tcPr>
          <w:p w14:paraId="573B7650" w14:textId="77777777" w:rsidR="00174E8E" w:rsidRPr="00EA0231" w:rsidRDefault="00174E8E" w:rsidP="00174E8E">
            <w:pPr>
              <w:rPr>
                <w:rFonts w:ascii="Times New Roman" w:hAnsi="Times New Roman" w:cs="Times New Roman"/>
                <w:b/>
                <w:bCs/>
                <w:sz w:val="20"/>
                <w:szCs w:val="20"/>
              </w:rPr>
            </w:pPr>
          </w:p>
        </w:tc>
        <w:tc>
          <w:tcPr>
            <w:tcW w:w="3117" w:type="dxa"/>
          </w:tcPr>
          <w:p w14:paraId="1F36BDAC" w14:textId="77777777" w:rsidR="00174E8E" w:rsidRPr="00EA0231" w:rsidRDefault="00174E8E" w:rsidP="00174E8E">
            <w:pPr>
              <w:rPr>
                <w:rFonts w:ascii="Times New Roman" w:hAnsi="Times New Roman" w:cs="Times New Roman"/>
                <w:b/>
                <w:bCs/>
                <w:sz w:val="20"/>
                <w:szCs w:val="20"/>
              </w:rPr>
            </w:pPr>
          </w:p>
        </w:tc>
        <w:tc>
          <w:tcPr>
            <w:tcW w:w="3117" w:type="dxa"/>
          </w:tcPr>
          <w:p w14:paraId="12172476" w14:textId="77777777" w:rsidR="00174E8E" w:rsidRPr="00EA0231" w:rsidRDefault="00174E8E" w:rsidP="00174E8E">
            <w:pPr>
              <w:rPr>
                <w:rFonts w:ascii="Times New Roman" w:hAnsi="Times New Roman" w:cs="Times New Roman"/>
                <w:b/>
                <w:bCs/>
                <w:sz w:val="20"/>
                <w:szCs w:val="20"/>
              </w:rPr>
            </w:pPr>
          </w:p>
        </w:tc>
      </w:tr>
      <w:tr w:rsidR="00174E8E" w:rsidRPr="00EA0231" w14:paraId="393736F1" w14:textId="77777777" w:rsidTr="00174E8E">
        <w:tc>
          <w:tcPr>
            <w:tcW w:w="3116" w:type="dxa"/>
          </w:tcPr>
          <w:p w14:paraId="4C7D9A50" w14:textId="77777777" w:rsidR="00174E8E" w:rsidRPr="00EA0231" w:rsidRDefault="00174E8E" w:rsidP="00174E8E">
            <w:pPr>
              <w:rPr>
                <w:rFonts w:ascii="Times New Roman" w:hAnsi="Times New Roman" w:cs="Times New Roman"/>
                <w:b/>
                <w:bCs/>
                <w:sz w:val="20"/>
                <w:szCs w:val="20"/>
              </w:rPr>
            </w:pPr>
          </w:p>
        </w:tc>
        <w:tc>
          <w:tcPr>
            <w:tcW w:w="3117" w:type="dxa"/>
          </w:tcPr>
          <w:p w14:paraId="0995D831" w14:textId="77777777" w:rsidR="00174E8E" w:rsidRPr="00EA0231" w:rsidRDefault="00174E8E" w:rsidP="00174E8E">
            <w:pPr>
              <w:rPr>
                <w:rFonts w:ascii="Times New Roman" w:hAnsi="Times New Roman" w:cs="Times New Roman"/>
                <w:b/>
                <w:bCs/>
                <w:sz w:val="20"/>
                <w:szCs w:val="20"/>
              </w:rPr>
            </w:pPr>
          </w:p>
        </w:tc>
        <w:tc>
          <w:tcPr>
            <w:tcW w:w="3117" w:type="dxa"/>
          </w:tcPr>
          <w:p w14:paraId="54937D35" w14:textId="77777777" w:rsidR="00174E8E" w:rsidRPr="00EA0231" w:rsidRDefault="00174E8E" w:rsidP="00174E8E">
            <w:pPr>
              <w:rPr>
                <w:rFonts w:ascii="Times New Roman" w:hAnsi="Times New Roman" w:cs="Times New Roman"/>
                <w:b/>
                <w:bCs/>
                <w:sz w:val="20"/>
                <w:szCs w:val="20"/>
              </w:rPr>
            </w:pPr>
          </w:p>
        </w:tc>
      </w:tr>
      <w:tr w:rsidR="00174E8E" w:rsidRPr="00EA0231" w14:paraId="4B8C9DC6" w14:textId="77777777" w:rsidTr="00174E8E">
        <w:tc>
          <w:tcPr>
            <w:tcW w:w="3116" w:type="dxa"/>
          </w:tcPr>
          <w:p w14:paraId="63D4B709" w14:textId="77777777" w:rsidR="00174E8E" w:rsidRPr="00EA0231" w:rsidRDefault="00174E8E" w:rsidP="00174E8E">
            <w:pPr>
              <w:rPr>
                <w:rFonts w:ascii="Times New Roman" w:hAnsi="Times New Roman" w:cs="Times New Roman"/>
                <w:b/>
                <w:bCs/>
                <w:sz w:val="20"/>
                <w:szCs w:val="20"/>
              </w:rPr>
            </w:pPr>
          </w:p>
        </w:tc>
        <w:tc>
          <w:tcPr>
            <w:tcW w:w="3117" w:type="dxa"/>
          </w:tcPr>
          <w:p w14:paraId="727ECE7A" w14:textId="77777777" w:rsidR="00174E8E" w:rsidRPr="00EA0231" w:rsidRDefault="00174E8E" w:rsidP="00174E8E">
            <w:pPr>
              <w:rPr>
                <w:rFonts w:ascii="Times New Roman" w:hAnsi="Times New Roman" w:cs="Times New Roman"/>
                <w:b/>
                <w:bCs/>
                <w:sz w:val="20"/>
                <w:szCs w:val="20"/>
              </w:rPr>
            </w:pPr>
          </w:p>
        </w:tc>
        <w:tc>
          <w:tcPr>
            <w:tcW w:w="3117" w:type="dxa"/>
          </w:tcPr>
          <w:p w14:paraId="05C401FB" w14:textId="77777777" w:rsidR="00174E8E" w:rsidRPr="00EA0231" w:rsidRDefault="00174E8E" w:rsidP="00174E8E">
            <w:pPr>
              <w:rPr>
                <w:rFonts w:ascii="Times New Roman" w:hAnsi="Times New Roman" w:cs="Times New Roman"/>
                <w:b/>
                <w:bCs/>
                <w:sz w:val="20"/>
                <w:szCs w:val="20"/>
              </w:rPr>
            </w:pPr>
          </w:p>
        </w:tc>
      </w:tr>
      <w:tr w:rsidR="00174E8E" w:rsidRPr="00EA0231" w14:paraId="6B04A3AA" w14:textId="77777777" w:rsidTr="00174E8E">
        <w:tc>
          <w:tcPr>
            <w:tcW w:w="3116" w:type="dxa"/>
          </w:tcPr>
          <w:p w14:paraId="5CB2EAE7" w14:textId="77777777" w:rsidR="00174E8E" w:rsidRPr="00EA0231" w:rsidRDefault="00174E8E" w:rsidP="00174E8E">
            <w:pPr>
              <w:rPr>
                <w:rFonts w:ascii="Times New Roman" w:hAnsi="Times New Roman" w:cs="Times New Roman"/>
                <w:sz w:val="20"/>
                <w:szCs w:val="20"/>
              </w:rPr>
            </w:pPr>
          </w:p>
        </w:tc>
        <w:tc>
          <w:tcPr>
            <w:tcW w:w="3117" w:type="dxa"/>
          </w:tcPr>
          <w:p w14:paraId="56EA7F9A" w14:textId="2E57C88C" w:rsidR="00174E8E" w:rsidRPr="00EA0231" w:rsidRDefault="00174E8E" w:rsidP="00174E8E">
            <w:pPr>
              <w:rPr>
                <w:rFonts w:ascii="Times New Roman" w:hAnsi="Times New Roman" w:cs="Times New Roman"/>
                <w:sz w:val="20"/>
                <w:szCs w:val="20"/>
              </w:rPr>
            </w:pPr>
          </w:p>
        </w:tc>
        <w:tc>
          <w:tcPr>
            <w:tcW w:w="3117" w:type="dxa"/>
          </w:tcPr>
          <w:p w14:paraId="7D2E0F0F" w14:textId="77777777" w:rsidR="00174E8E" w:rsidRPr="00EA0231" w:rsidRDefault="00174E8E" w:rsidP="00174E8E">
            <w:pPr>
              <w:rPr>
                <w:rFonts w:ascii="Times New Roman" w:hAnsi="Times New Roman" w:cs="Times New Roman"/>
                <w:sz w:val="20"/>
                <w:szCs w:val="20"/>
              </w:rPr>
            </w:pPr>
          </w:p>
        </w:tc>
      </w:tr>
      <w:tr w:rsidR="00174E8E" w:rsidRPr="00EA0231" w14:paraId="7755D254" w14:textId="77777777" w:rsidTr="00174E8E">
        <w:tc>
          <w:tcPr>
            <w:tcW w:w="3116" w:type="dxa"/>
          </w:tcPr>
          <w:p w14:paraId="2C079C48" w14:textId="77777777" w:rsidR="00174E8E" w:rsidRPr="00EA0231" w:rsidRDefault="00174E8E" w:rsidP="00174E8E">
            <w:pPr>
              <w:rPr>
                <w:rFonts w:ascii="Times New Roman" w:hAnsi="Times New Roman" w:cs="Times New Roman"/>
                <w:sz w:val="20"/>
                <w:szCs w:val="20"/>
              </w:rPr>
            </w:pPr>
          </w:p>
        </w:tc>
        <w:tc>
          <w:tcPr>
            <w:tcW w:w="3117" w:type="dxa"/>
          </w:tcPr>
          <w:p w14:paraId="3B0342CF" w14:textId="77777777" w:rsidR="00174E8E" w:rsidRPr="00EA0231" w:rsidRDefault="00174E8E" w:rsidP="00174E8E">
            <w:pPr>
              <w:rPr>
                <w:rFonts w:ascii="Times New Roman" w:hAnsi="Times New Roman" w:cs="Times New Roman"/>
                <w:sz w:val="20"/>
                <w:szCs w:val="20"/>
              </w:rPr>
            </w:pPr>
          </w:p>
        </w:tc>
        <w:tc>
          <w:tcPr>
            <w:tcW w:w="3117" w:type="dxa"/>
          </w:tcPr>
          <w:p w14:paraId="0726D213" w14:textId="60FB9E33" w:rsidR="00174E8E" w:rsidRPr="00EA0231" w:rsidRDefault="00174E8E" w:rsidP="00174E8E">
            <w:pPr>
              <w:rPr>
                <w:rFonts w:ascii="Times New Roman" w:hAnsi="Times New Roman" w:cs="Times New Roman"/>
                <w:sz w:val="20"/>
                <w:szCs w:val="20"/>
              </w:rPr>
            </w:pPr>
          </w:p>
        </w:tc>
      </w:tr>
    </w:tbl>
    <w:p w14:paraId="3E066088" w14:textId="77777777" w:rsidR="00174E8E" w:rsidRDefault="00174E8E" w:rsidP="00255B56">
      <w:pPr>
        <w:rPr>
          <w:rFonts w:ascii="Times New Roman" w:hAnsi="Times New Roman" w:cs="Times New Roman"/>
          <w:sz w:val="20"/>
          <w:szCs w:val="20"/>
        </w:rPr>
      </w:pPr>
    </w:p>
    <w:p w14:paraId="3505BA5C" w14:textId="37CB29CC" w:rsidR="00EA0231" w:rsidRDefault="00174E8E" w:rsidP="00EA0231">
      <w:pPr>
        <w:pStyle w:val="BodyText"/>
        <w:jc w:val="both"/>
        <w:rPr>
          <w:sz w:val="20"/>
          <w:szCs w:val="20"/>
        </w:rPr>
      </w:pPr>
      <w:r w:rsidRPr="00EA0231">
        <w:rPr>
          <w:sz w:val="20"/>
          <w:szCs w:val="20"/>
        </w:rPr>
        <w:t>This material event notice is being sent to the Municipal Securities Rulemaking Board (the “MSRB”) via the Electronic Municipal Market Access (“EMMA”) system pursuant to the Securities and Exchange Commission Rule 15c2-12(b)(5)(i)(C) (the “Rule”) and the Issuer’s continuing disclosure undertaking(s).</w:t>
      </w:r>
    </w:p>
    <w:p w14:paraId="0B6807F2" w14:textId="77777777" w:rsidR="00EA0231" w:rsidRDefault="00EA0231" w:rsidP="00EA0231">
      <w:pPr>
        <w:pStyle w:val="BodyText"/>
        <w:jc w:val="both"/>
        <w:rPr>
          <w:sz w:val="20"/>
          <w:szCs w:val="20"/>
        </w:rPr>
      </w:pPr>
    </w:p>
    <w:p w14:paraId="7DAC2894" w14:textId="37C8552E" w:rsidR="00174E8E" w:rsidRDefault="00EA0231" w:rsidP="00EA0231">
      <w:pPr>
        <w:jc w:val="both"/>
        <w:rPr>
          <w:rFonts w:ascii="Times New Roman" w:hAnsi="Times New Roman" w:cs="Times New Roman"/>
          <w:sz w:val="20"/>
          <w:szCs w:val="20"/>
        </w:rPr>
      </w:pPr>
      <w:r w:rsidRPr="00EA0231">
        <w:rPr>
          <w:rFonts w:ascii="Times New Roman" w:hAnsi="Times New Roman" w:cs="Times New Roman"/>
          <w:sz w:val="20"/>
          <w:szCs w:val="20"/>
        </w:rPr>
        <w:t xml:space="preserve">The bond insurance provider for the </w:t>
      </w:r>
      <w:r w:rsidR="004B754D">
        <w:rPr>
          <w:rFonts w:ascii="Times New Roman" w:hAnsi="Times New Roman" w:cs="Times New Roman"/>
          <w:sz w:val="20"/>
          <w:szCs w:val="20"/>
        </w:rPr>
        <w:t>[</w:t>
      </w:r>
      <w:r w:rsidRPr="00EA0231">
        <w:rPr>
          <w:rFonts w:ascii="Times New Roman" w:hAnsi="Times New Roman" w:cs="Times New Roman"/>
          <w:sz w:val="20"/>
          <w:szCs w:val="20"/>
        </w:rPr>
        <w:t>Bonds</w:t>
      </w:r>
      <w:r w:rsidR="004B754D">
        <w:rPr>
          <w:rFonts w:ascii="Times New Roman" w:hAnsi="Times New Roman" w:cs="Times New Roman"/>
          <w:sz w:val="20"/>
          <w:szCs w:val="20"/>
        </w:rPr>
        <w:t>/Notes/COPs]</w:t>
      </w:r>
      <w:r w:rsidRPr="00EA0231">
        <w:rPr>
          <w:rFonts w:ascii="Times New Roman" w:hAnsi="Times New Roman" w:cs="Times New Roman"/>
          <w:sz w:val="20"/>
          <w:szCs w:val="20"/>
        </w:rPr>
        <w:t xml:space="preserve"> has changed as a result of the merger of Assured Guaranty Municipal Corp. into Assured Guaranty, Inc.  As of August 1, 2024, the bond insurance provider for the Bonds </w:t>
      </w:r>
      <w:r w:rsidR="00B66AED">
        <w:rPr>
          <w:rFonts w:ascii="Times New Roman" w:hAnsi="Times New Roman" w:cs="Times New Roman"/>
          <w:sz w:val="20"/>
          <w:szCs w:val="20"/>
        </w:rPr>
        <w:t>is</w:t>
      </w:r>
      <w:r w:rsidRPr="00EA0231">
        <w:rPr>
          <w:rFonts w:ascii="Times New Roman" w:hAnsi="Times New Roman" w:cs="Times New Roman"/>
          <w:sz w:val="20"/>
          <w:szCs w:val="20"/>
        </w:rPr>
        <w:t xml:space="preserve"> Assured Guaranty Inc.</w:t>
      </w:r>
    </w:p>
    <w:p w14:paraId="4E72DD66" w14:textId="77777777" w:rsidR="00EA0231" w:rsidRDefault="00EA0231" w:rsidP="00255B56">
      <w:pPr>
        <w:rPr>
          <w:rFonts w:ascii="Times New Roman" w:hAnsi="Times New Roman" w:cs="Times New Roman"/>
          <w:sz w:val="20"/>
          <w:szCs w:val="20"/>
        </w:rPr>
      </w:pPr>
    </w:p>
    <w:p w14:paraId="7EEC424E" w14:textId="77777777" w:rsidR="00EA0231" w:rsidRPr="00EA0231" w:rsidRDefault="00EA0231" w:rsidP="00255B56">
      <w:pPr>
        <w:rPr>
          <w:rFonts w:ascii="Times New Roman" w:hAnsi="Times New Roman" w:cs="Times New Roman"/>
          <w:sz w:val="20"/>
          <w:szCs w:val="20"/>
        </w:rPr>
      </w:pPr>
    </w:p>
    <w:sectPr w:rsidR="00EA0231" w:rsidRPr="00EA02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8ECB" w14:textId="77777777" w:rsidR="008176D9" w:rsidRDefault="008176D9" w:rsidP="008176D9">
      <w:pPr>
        <w:spacing w:after="0" w:line="240" w:lineRule="auto"/>
      </w:pPr>
      <w:r>
        <w:separator/>
      </w:r>
    </w:p>
  </w:endnote>
  <w:endnote w:type="continuationSeparator" w:id="0">
    <w:p w14:paraId="52BCC8D9" w14:textId="77777777" w:rsidR="008176D9" w:rsidRDefault="008176D9" w:rsidP="0081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75d2596-192c-440f-ac60-5d10"/>
  <w:p w14:paraId="6400AB84" w14:textId="77777777" w:rsidR="008176D9" w:rsidRDefault="008176D9">
    <w:pPr>
      <w:pStyle w:val="DocID"/>
    </w:pPr>
    <w:r>
      <w:fldChar w:fldCharType="begin"/>
    </w:r>
    <w:r>
      <w:instrText xml:space="preserve">  DOCPROPERTY "CUS_DocIDChunk0" </w:instrText>
    </w:r>
    <w:r>
      <w:fldChar w:fldCharType="separate"/>
    </w:r>
    <w:r>
      <w:rPr>
        <w:noProof/>
      </w:rPr>
      <w:t>4895-4891-9765\1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5363" w14:textId="3193573E" w:rsidR="008176D9" w:rsidRDefault="008176D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befd859-e1d0-495a-87d8-756d"/>
  <w:p w14:paraId="353DB8DC" w14:textId="77777777" w:rsidR="008176D9" w:rsidRDefault="008176D9">
    <w:pPr>
      <w:pStyle w:val="DocID"/>
    </w:pPr>
    <w:r>
      <w:fldChar w:fldCharType="begin"/>
    </w:r>
    <w:r>
      <w:instrText xml:space="preserve">  DOCPROPERTY "CUS_DocIDChunk0" </w:instrText>
    </w:r>
    <w:r>
      <w:fldChar w:fldCharType="separate"/>
    </w:r>
    <w:r>
      <w:rPr>
        <w:noProof/>
      </w:rPr>
      <w:t>4895-4891-9765\1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63C4" w14:textId="77777777" w:rsidR="008176D9" w:rsidRDefault="008176D9" w:rsidP="008176D9">
      <w:pPr>
        <w:spacing w:after="0" w:line="240" w:lineRule="auto"/>
      </w:pPr>
      <w:r>
        <w:separator/>
      </w:r>
    </w:p>
  </w:footnote>
  <w:footnote w:type="continuationSeparator" w:id="0">
    <w:p w14:paraId="5C00166E" w14:textId="77777777" w:rsidR="008176D9" w:rsidRDefault="008176D9" w:rsidP="0081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5105" w14:textId="77777777" w:rsidR="008176D9" w:rsidRDefault="0081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BED" w14:textId="77777777" w:rsidR="008176D9" w:rsidRDefault="0081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089E" w14:textId="77777777" w:rsidR="008176D9" w:rsidRDefault="00817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56"/>
    <w:rsid w:val="00174E8E"/>
    <w:rsid w:val="00255B56"/>
    <w:rsid w:val="004749A6"/>
    <w:rsid w:val="004A3A5F"/>
    <w:rsid w:val="004B754D"/>
    <w:rsid w:val="008176D9"/>
    <w:rsid w:val="008C295E"/>
    <w:rsid w:val="0094794D"/>
    <w:rsid w:val="009A5A2C"/>
    <w:rsid w:val="00B66AED"/>
    <w:rsid w:val="00CA0BF1"/>
    <w:rsid w:val="00EA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5FC0"/>
  <w15:chartTrackingRefBased/>
  <w15:docId w15:val="{EC27864D-BEF0-41FD-90D7-DE48520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8176D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8176D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81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D9"/>
  </w:style>
  <w:style w:type="paragraph" w:styleId="Header">
    <w:name w:val="header"/>
    <w:basedOn w:val="Normal"/>
    <w:link w:val="HeaderChar"/>
    <w:uiPriority w:val="99"/>
    <w:unhideWhenUsed/>
    <w:rsid w:val="0081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D9"/>
  </w:style>
  <w:style w:type="paragraph" w:styleId="BodyText">
    <w:name w:val="Body Text"/>
    <w:basedOn w:val="Normal"/>
    <w:link w:val="BodyTextChar"/>
    <w:uiPriority w:val="1"/>
    <w:unhideWhenUsed/>
    <w:qFormat/>
    <w:rsid w:val="00174E8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74E8E"/>
    <w:rPr>
      <w:rFonts w:ascii="Times New Roman" w:eastAsia="Times New Roman" w:hAnsi="Times New Roman" w:cs="Times New Roman"/>
    </w:rPr>
  </w:style>
  <w:style w:type="table" w:styleId="TableGrid">
    <w:name w:val="Table Grid"/>
    <w:basedOn w:val="TableNormal"/>
    <w:uiPriority w:val="39"/>
    <w:rsid w:val="0017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 Jennifer</dc:creator>
  <cp:keywords/>
  <dc:description/>
  <cp:lastModifiedBy>Block, Jennifer</cp:lastModifiedBy>
  <cp:revision>9</cp:revision>
  <dcterms:created xsi:type="dcterms:W3CDTF">2024-08-05T15:07:00Z</dcterms:created>
  <dcterms:modified xsi:type="dcterms:W3CDTF">2024-08-05T16:52:00Z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4895-4891-9765\1</vt:lpwstr>
  </property>
  <property fmtid="{D5CDD505-2E9C-101B-9397-08002B2CF9AE}" pid="3" name="CUS_DocIDChunk0">
    <vt:lpwstr>4895-4891-9765\1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